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BFA58">
      <w:pPr>
        <w:numPr>
          <w:ilvl w:val="0"/>
          <w:numId w:val="1"/>
        </w:numPr>
        <w:jc w:val="left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color w:val="auto"/>
          <w:lang w:val="es-MX"/>
        </w:rPr>
        <w:t>GRUPO DE PROCESOS - PROCESO - PROCEDIMIENTO:</w:t>
      </w:r>
      <w:r>
        <w:rPr>
          <w:rFonts w:hint="default" w:ascii="Cambria" w:hAnsi="Cambria" w:cs="Cambria"/>
          <w:b/>
          <w:color w:val="auto"/>
          <w:lang w:val="es-MX"/>
        </w:rPr>
        <w:br w:type="textWrapping"/>
      </w:r>
      <w:r>
        <w:rPr>
          <w:rFonts w:hint="default" w:ascii="Cambria" w:hAnsi="Cambria" w:cs="Cambria"/>
          <w:b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>Procesos de control - SARO - Identificación de riesgos.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</w:p>
    <w:p w14:paraId="4213AF96">
      <w:pPr>
        <w:numPr>
          <w:ilvl w:val="0"/>
          <w:numId w:val="1"/>
        </w:numPr>
        <w:jc w:val="left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RESPONSABLE DEL PROCEDIMIENTO - SUPLENTES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>Encargado del riesgo operativo &amp; líderes de procesos - Gerencia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</w:p>
    <w:p w14:paraId="538C585B">
      <w:pPr>
        <w:numPr>
          <w:ilvl w:val="0"/>
          <w:numId w:val="1"/>
        </w:numPr>
        <w:jc w:val="both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OBJETIVO: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Determinar los riesgos operativos existentes y sus detalles, para su posterios consignación en la herramienta correspondiente para este fin. </w:t>
      </w:r>
    </w:p>
    <w:p w14:paraId="2720DCC1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ES"/>
        </w:rPr>
      </w:pPr>
    </w:p>
    <w:p w14:paraId="64298C2B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RECURSOS NECESARIOS DURANTE LA EJECUCIÓN:</w:t>
      </w:r>
    </w:p>
    <w:p w14:paraId="41DA012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ES"/>
        </w:rPr>
        <w:br w:type="textWrapping"/>
      </w:r>
      <w:r>
        <w:rPr>
          <w:rFonts w:hint="default" w:ascii="Cambria" w:hAnsi="Cambria" w:cs="Cambria"/>
          <w:b/>
          <w:bCs w:val="0"/>
          <w:color w:val="auto"/>
          <w:lang w:val="es-MX"/>
        </w:rPr>
        <w:t>- ARCHIVOS/DOCUMENTOS:</w:t>
      </w:r>
    </w:p>
    <w:p w14:paraId="7D50ED0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Digitales: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t>Matriz de riesgo operativo (excel).</w:t>
      </w:r>
    </w:p>
    <w:p w14:paraId="649DB7FE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4DFA4EF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CONEXIÓN/REDES/BASES DE DATOS:</w:t>
      </w:r>
    </w:p>
    <w:p w14:paraId="21F80346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N/A</w:t>
      </w:r>
    </w:p>
    <w:p w14:paraId="788D3BD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49B919C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CONOCIMIENTOS ESPECIFICOS:</w:t>
      </w:r>
    </w:p>
    <w:p w14:paraId="6E8012D8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Gestión del riesgo; procesos y procedimientos de coopcallejona; requerimientos especificos vigentes de la supersolidaria en materia de riesgos. </w:t>
      </w:r>
    </w:p>
    <w:p w14:paraId="1F39EE55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7153D7A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DOCUMENTOS DE REFERENCIA:</w:t>
      </w:r>
    </w:p>
    <w:p w14:paraId="2BAE7B6B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Manual SARO; documentación existente de procesos y procedimientos; capitulo 4 del titulo 4 de la circular basica contable y financiera de la supersolidaria. </w:t>
      </w:r>
    </w:p>
    <w:p w14:paraId="2F06325C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0722374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- EQUIPOS/HERRAMIENTAS: </w:t>
      </w:r>
    </w:p>
    <w:p w14:paraId="3694FD54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Equipo de computo; papelería; impresora.</w:t>
      </w:r>
    </w:p>
    <w:p w14:paraId="5E3BC40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DC17A70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OUTPUTS/SALIDAS DEL PROCEDIMIENTO:</w:t>
      </w:r>
    </w:p>
    <w:p w14:paraId="2190974D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</w:p>
    <w:p w14:paraId="5E266935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Actualización de documentación de procesos y procedimientos.</w:t>
      </w:r>
    </w:p>
    <w:p w14:paraId="7B8CF661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Actualización de la matriz de riesgos operacionales</w:t>
      </w:r>
    </w:p>
    <w:p w14:paraId="4E29F59C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Listado de riesgos operacionales</w:t>
      </w:r>
    </w:p>
    <w:p w14:paraId="1784375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5CC8EC4D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677CFA81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FEE5160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bookmarkStart w:id="0" w:name="_GoBack"/>
      <w:bookmarkEnd w:id="0"/>
    </w:p>
    <w:p w14:paraId="72E1469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63C64B0D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2352122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DESCRIPCIÓN  DEL PROCEDIMIENTO:</w:t>
      </w:r>
    </w:p>
    <w:p w14:paraId="76BA26EA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726E55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Este procedimiento inicia con la revisión de la documentación existente acerca de los procesos y procedimientos; se verifica que estén actualizados. De no estar actualizados, debe actualizarse. Una vez esta etapa se haya concluido, se procede a identificar los riesgos existentes; para ello se harán reuniones con los líderes de las áreas y observación directa de las actividades llevadas a cabo diariamente, esto se cotejará con información existente de otras fuentes para avarcar la totalidad de los riesgos; la información recolectada se consiganrá en la matriz de riesgo operativo. </w:t>
      </w:r>
    </w:p>
    <w:p w14:paraId="6835A3F5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46825287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Durante esta actividad es importante responder a las preguntas: </w:t>
      </w:r>
    </w:p>
    <w:p w14:paraId="5E4F449E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67C23B45">
      <w:pPr>
        <w:numPr>
          <w:ilvl w:val="0"/>
          <w:numId w:val="0"/>
        </w:numPr>
        <w:ind w:leftChars="0"/>
        <w:rPr>
          <w:rFonts w:cs="Cambria"/>
          <w:szCs w:val="24"/>
          <w:lang w:val="es-MX"/>
        </w:rPr>
      </w:pPr>
      <w:r>
        <w:rPr>
          <w:rFonts w:cs="Cambria"/>
          <w:szCs w:val="24"/>
          <w:lang w:val="es-MX"/>
        </w:rPr>
        <w:t xml:space="preserve">- ¿qué puede suceder?; En esta respuesta se entiende cuáles serían las consecuencias en caso de materializarse un evento de riesgo. </w:t>
      </w:r>
      <w:r>
        <w:rPr>
          <w:rFonts w:cs="Cambria"/>
          <w:szCs w:val="24"/>
          <w:lang w:val="es-MX"/>
        </w:rPr>
        <w:br w:type="textWrapping"/>
      </w:r>
      <w:r>
        <w:rPr>
          <w:rFonts w:cs="Cambria"/>
          <w:szCs w:val="24"/>
          <w:lang w:val="es-MX"/>
        </w:rPr>
        <w:br w:type="textWrapping"/>
      </w:r>
      <w:r>
        <w:rPr>
          <w:rFonts w:cs="Cambria"/>
          <w:szCs w:val="24"/>
          <w:lang w:val="es-MX"/>
        </w:rPr>
        <w:t>- ¿cómo puede suceder?; Respondiendo esta pregunta se podrán entender las causan del evento de riesgo o circunstancias que finalizan en un evento de riesgo.</w:t>
      </w:r>
      <w:r>
        <w:rPr>
          <w:rFonts w:cs="Cambria"/>
          <w:szCs w:val="24"/>
          <w:lang w:val="es-MX"/>
        </w:rPr>
        <w:br w:type="textWrapping"/>
      </w:r>
      <w:r>
        <w:rPr>
          <w:rFonts w:cs="Cambria"/>
          <w:szCs w:val="24"/>
          <w:lang w:val="es-MX"/>
        </w:rPr>
        <w:br w:type="textWrapping"/>
      </w:r>
      <w:r>
        <w:rPr>
          <w:rFonts w:cs="Cambria"/>
          <w:szCs w:val="24"/>
          <w:lang w:val="es-MX"/>
        </w:rPr>
        <w:t xml:space="preserve">- ¿por qué puede suceder?; Esta pregunta está directamente relacionada al evento de riesgo y es la descripción de este. </w:t>
      </w:r>
      <w:r>
        <w:rPr>
          <w:rFonts w:cs="Cambria"/>
          <w:szCs w:val="24"/>
          <w:lang w:val="es-MX"/>
        </w:rPr>
        <w:br w:type="textWrapping"/>
      </w:r>
    </w:p>
    <w:p w14:paraId="67BF4B8C">
      <w:pPr>
        <w:numPr>
          <w:ilvl w:val="0"/>
          <w:numId w:val="0"/>
        </w:numPr>
        <w:ind w:leftChars="0"/>
        <w:rPr>
          <w:rFonts w:hint="default" w:cs="Cambria"/>
          <w:b w:val="0"/>
          <w:bCs w:val="0"/>
          <w:szCs w:val="24"/>
          <w:lang w:val="es-MX"/>
        </w:rPr>
      </w:pPr>
    </w:p>
    <w:p w14:paraId="5FE0D6C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 w:val="0"/>
          <w:color w:val="auto"/>
          <w:lang w:val="es-MX"/>
        </w:rPr>
      </w:pPr>
      <w:r>
        <w:rPr>
          <w:rFonts w:hint="default" w:ascii="Cambria" w:hAnsi="Cambria" w:cs="Cambria"/>
          <w:b w:val="0"/>
          <w:bCs w:val="0"/>
          <w:color w:val="auto"/>
          <w:lang w:val="es-MX"/>
        </w:rPr>
        <w:t>De la misma manera se deben seguir las indicaciones establecidas en el manual SARO para esta actividad.</w:t>
      </w:r>
    </w:p>
    <w:p w14:paraId="12FB097A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 w:val="0"/>
          <w:color w:val="auto"/>
          <w:lang w:val="es-MX"/>
        </w:rPr>
      </w:pPr>
    </w:p>
    <w:p w14:paraId="7E1D780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 w:val="0"/>
          <w:color w:val="auto"/>
          <w:lang w:val="es-MX"/>
        </w:rPr>
      </w:pPr>
    </w:p>
    <w:p w14:paraId="3FDF507F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427351BE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LISTADO DE ACTIVIDADES Y RESPONSABLES:</w:t>
      </w:r>
    </w:p>
    <w:p w14:paraId="2A32454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039980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6CE34A8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2D3B92E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66040</wp:posOffset>
            </wp:positionV>
            <wp:extent cx="5968365" cy="1521460"/>
            <wp:effectExtent l="0" t="0" r="5715" b="2540"/>
            <wp:wrapNone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68365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C6557E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854DD5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306F2AB7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1B11C7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36CBF53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20BC335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48D5118E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029B3EC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8841F38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449B8213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57604803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D0C985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47B0AE85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FLUJOGRAMA DEL PROCEDIMIENTO:</w:t>
      </w:r>
    </w:p>
    <w:p w14:paraId="75ED6D99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909F777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4224A26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2E6A8E68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3558BE4F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107315</wp:posOffset>
            </wp:positionV>
            <wp:extent cx="4603115" cy="3415665"/>
            <wp:effectExtent l="0" t="0" r="14605" b="13335"/>
            <wp:wrapNone/>
            <wp:docPr id="2" name="Imagen 2" descr="flujograma-coop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flujograma-coop (2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3115" cy="341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35CFC5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5C214A2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13D7FB52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6EC078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</w:p>
    <w:p w14:paraId="09E2A708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117658A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0738290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7D2B77F5">
      <w:pPr>
        <w:numPr>
          <w:ilvl w:val="0"/>
          <w:numId w:val="0"/>
        </w:numPr>
        <w:ind w:leftChars="0"/>
        <w:jc w:val="both"/>
        <w:rPr>
          <w:rFonts w:ascii="Arial" w:hAnsi="Arial" w:cs="Arial"/>
          <w:b/>
          <w:color w:val="008000"/>
          <w:lang w:val="es-ES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Arial" w:hAnsi="Arial" w:cs="Arial"/>
          <w:b/>
          <w:color w:val="008000"/>
          <w:lang w:val="es-MX"/>
        </w:rPr>
        <w:br w:type="textWrapping"/>
      </w:r>
    </w:p>
    <w:p w14:paraId="4F9EF857">
      <w:pPr>
        <w:pStyle w:val="13"/>
        <w:ind w:left="0" w:leftChars="0" w:firstLine="0" w:firstLineChars="0"/>
        <w:jc w:val="both"/>
      </w:pPr>
      <w:r>
        <w:rPr>
          <w:rFonts w:hint="default" w:ascii="Arial" w:hAnsi="Arial" w:cs="Arial"/>
          <w:b/>
          <w:color w:val="008000"/>
          <w:lang w:val="es-MX"/>
        </w:rPr>
        <w:t xml:space="preserve"> </w:t>
      </w:r>
      <w:r>
        <w:rPr>
          <w:rFonts w:hint="default" w:ascii="Arial" w:hAnsi="Arial" w:cs="Arial"/>
          <w:b/>
          <w:color w:val="008000"/>
          <w:lang w:val="es-MX"/>
        </w:rPr>
        <w:br w:type="textWrapping"/>
      </w:r>
    </w:p>
    <w:p w14:paraId="0F713C73">
      <w:pPr>
        <w:pStyle w:val="13"/>
        <w:jc w:val="both"/>
        <w:rPr>
          <w:rFonts w:hint="default" w:ascii="Arial" w:hAnsi="Arial" w:cs="Arial"/>
          <w:b/>
          <w:color w:val="008000"/>
          <w:lang w:val="es-MX"/>
        </w:rPr>
      </w:pPr>
    </w:p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2242" w:h="15842"/>
      <w:pgMar w:top="1134" w:right="1134" w:bottom="1134" w:left="1701" w:header="567" w:footer="28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9D284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3085D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916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456"/>
      <w:gridCol w:w="4487"/>
      <w:gridCol w:w="2225"/>
    </w:tblGrid>
    <w:tr w14:paraId="6A7EE57F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600" w:hRule="atLeast"/>
      </w:trPr>
      <w:tc>
        <w:tcPr>
          <w:tcW w:w="2456" w:type="dxa"/>
          <w:vAlign w:val="center"/>
        </w:tcPr>
        <w:p w14:paraId="43528E1D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</w:pPr>
          <w: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11430</wp:posOffset>
                </wp:positionV>
                <wp:extent cx="1482725" cy="807720"/>
                <wp:effectExtent l="0" t="0" r="0" b="0"/>
                <wp:wrapNone/>
                <wp:docPr id="1016906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6906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272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487" w:type="dxa"/>
          <w:vAlign w:val="center"/>
        </w:tcPr>
        <w:p w14:paraId="5122C4C7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  <w:b/>
              <w:bCs/>
              <w:lang w:val="es-MX"/>
            </w:rPr>
          </w:pPr>
          <w:r>
            <w:rPr>
              <w:rFonts w:hint="default" w:ascii="Cambria" w:hAnsi="Cambria" w:cs="Cambria"/>
              <w:b/>
              <w:bCs/>
            </w:rPr>
            <w:t xml:space="preserve">MANUAL DE </w:t>
          </w:r>
          <w:r>
            <w:rPr>
              <w:rFonts w:hint="default" w:ascii="Cambria" w:hAnsi="Cambria" w:cs="Cambria"/>
              <w:b/>
              <w:bCs/>
              <w:lang w:val="es-MX"/>
            </w:rPr>
            <w:t>PROCEDIMIENTO:</w:t>
          </w:r>
          <w:r>
            <w:rPr>
              <w:rFonts w:hint="default" w:ascii="Cambria" w:hAnsi="Cambria" w:cs="Cambria"/>
              <w:b/>
              <w:bCs/>
              <w:lang w:val="es-MX"/>
            </w:rPr>
            <w:br w:type="textWrapping"/>
          </w:r>
          <w:r>
            <w:rPr>
              <w:rFonts w:hint="default" w:ascii="Cambria" w:hAnsi="Cambria" w:cs="Cambria"/>
              <w:b/>
              <w:bCs/>
              <w:lang w:val="es-MX"/>
            </w:rPr>
            <w:br w:type="textWrapping"/>
          </w:r>
          <w:r>
            <w:rPr>
              <w:rFonts w:hint="default" w:ascii="Cambria" w:hAnsi="Cambria" w:cs="Cambria"/>
              <w:b/>
              <w:bCs/>
              <w:lang w:val="es-MX"/>
            </w:rPr>
            <w:t>IDENTIFICACIÓN DE RIESGOS</w:t>
          </w:r>
        </w:p>
        <w:p w14:paraId="7AE1E55A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  <w:b/>
              <w:bCs/>
              <w:lang w:val="es-MX"/>
            </w:rPr>
          </w:pPr>
        </w:p>
      </w:tc>
      <w:tc>
        <w:tcPr>
          <w:tcW w:w="2225" w:type="dxa"/>
          <w:vAlign w:val="center"/>
        </w:tcPr>
        <w:p w14:paraId="3B544837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  <w:r>
            <w:rPr>
              <w:rFonts w:hint="default" w:ascii="Cambria" w:hAnsi="Cambria" w:cs="Cambria"/>
            </w:rPr>
            <w:t>VERSIÓN: 1</w:t>
          </w:r>
        </w:p>
        <w:p w14:paraId="1B4ED90C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</w:p>
        <w:p w14:paraId="3DE3E2C1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  <w:r>
            <w:rPr>
              <w:rFonts w:hint="default" w:ascii="Cambria" w:hAnsi="Cambria" w:cs="Cambria"/>
            </w:rPr>
            <w:t xml:space="preserve">FECHA CREACIÓN: </w:t>
          </w:r>
          <w:r>
            <w:rPr>
              <w:rFonts w:hint="default" w:ascii="Cambria" w:hAnsi="Cambria" w:cs="Cambria"/>
            </w:rPr>
            <w:br w:type="textWrapping"/>
          </w:r>
          <w:r>
            <w:rPr>
              <w:rFonts w:hint="default" w:ascii="Cambria" w:hAnsi="Cambria" w:cs="Cambria"/>
            </w:rPr>
            <w:t>JUNIO 2025</w:t>
          </w:r>
        </w:p>
      </w:tc>
    </w:tr>
  </w:tbl>
  <w:p w14:paraId="16403579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54F77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B3F90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4B5B1B"/>
    <w:multiLevelType w:val="multilevel"/>
    <w:tmpl w:val="594B5B1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  <w:sz w:val="20"/>
        <w:szCs w:val="20"/>
      </w:rPr>
    </w:lvl>
    <w:lvl w:ilvl="1" w:tentative="0">
      <w:start w:val="1"/>
      <w:numFmt w:val="decimal"/>
      <w:lvlText w:val="%2."/>
      <w:lvlJc w:val="left"/>
      <w:pPr>
        <w:tabs>
          <w:tab w:val="left" w:pos="540"/>
        </w:tabs>
        <w:ind w:left="540" w:hanging="360"/>
      </w:pPr>
      <w:rPr>
        <w:rFonts w:hint="default"/>
        <w:b w:val="0"/>
      </w:rPr>
    </w:lvl>
    <w:lvl w:ilvl="2" w:tentative="0">
      <w:start w:val="1"/>
      <w:numFmt w:val="decimal"/>
      <w:lvlText w:val="%3."/>
      <w:lvlJc w:val="left"/>
      <w:pPr>
        <w:tabs>
          <w:tab w:val="left" w:pos="1980"/>
        </w:tabs>
        <w:ind w:left="1980" w:hanging="360"/>
      </w:pPr>
    </w:lvl>
    <w:lvl w:ilvl="3" w:tentative="0">
      <w:start w:val="0"/>
      <w:numFmt w:val="bullet"/>
      <w:lvlText w:val="-"/>
      <w:lvlJc w:val="left"/>
      <w:pPr>
        <w:tabs>
          <w:tab w:val="left" w:pos="2685"/>
        </w:tabs>
        <w:ind w:left="2685" w:hanging="525"/>
      </w:pPr>
      <w:rPr>
        <w:rFonts w:hint="default" w:ascii="Arial" w:hAnsi="Arial" w:eastAsia="Times New Roman" w:cs="Arial"/>
      </w:r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3CA"/>
    <w:rsid w:val="00010013"/>
    <w:rsid w:val="00010293"/>
    <w:rsid w:val="000128E7"/>
    <w:rsid w:val="00027431"/>
    <w:rsid w:val="00035F32"/>
    <w:rsid w:val="00042888"/>
    <w:rsid w:val="00045BA2"/>
    <w:rsid w:val="00047F99"/>
    <w:rsid w:val="0007322C"/>
    <w:rsid w:val="0007607A"/>
    <w:rsid w:val="000A058F"/>
    <w:rsid w:val="000A44B2"/>
    <w:rsid w:val="000A669F"/>
    <w:rsid w:val="000B4191"/>
    <w:rsid w:val="000D28CD"/>
    <w:rsid w:val="000F6700"/>
    <w:rsid w:val="00126B64"/>
    <w:rsid w:val="00140CFE"/>
    <w:rsid w:val="00141619"/>
    <w:rsid w:val="00141C13"/>
    <w:rsid w:val="001572C5"/>
    <w:rsid w:val="00172E92"/>
    <w:rsid w:val="00185F92"/>
    <w:rsid w:val="001D338C"/>
    <w:rsid w:val="001D77DB"/>
    <w:rsid w:val="001F0FA9"/>
    <w:rsid w:val="002000DB"/>
    <w:rsid w:val="00212CB2"/>
    <w:rsid w:val="00215F94"/>
    <w:rsid w:val="00236F33"/>
    <w:rsid w:val="00245D90"/>
    <w:rsid w:val="00253509"/>
    <w:rsid w:val="002755D1"/>
    <w:rsid w:val="00282D43"/>
    <w:rsid w:val="0028700B"/>
    <w:rsid w:val="00290BF4"/>
    <w:rsid w:val="002B096D"/>
    <w:rsid w:val="002B20F8"/>
    <w:rsid w:val="002C7C13"/>
    <w:rsid w:val="002F7825"/>
    <w:rsid w:val="0030063B"/>
    <w:rsid w:val="00340496"/>
    <w:rsid w:val="00352028"/>
    <w:rsid w:val="003978F0"/>
    <w:rsid w:val="003C1495"/>
    <w:rsid w:val="003D139D"/>
    <w:rsid w:val="003F6978"/>
    <w:rsid w:val="00403A40"/>
    <w:rsid w:val="00422EF8"/>
    <w:rsid w:val="0044094D"/>
    <w:rsid w:val="00474EF6"/>
    <w:rsid w:val="004934B2"/>
    <w:rsid w:val="004C00E4"/>
    <w:rsid w:val="00505BCB"/>
    <w:rsid w:val="005246F6"/>
    <w:rsid w:val="005253E9"/>
    <w:rsid w:val="00525EEA"/>
    <w:rsid w:val="0053366D"/>
    <w:rsid w:val="0056111C"/>
    <w:rsid w:val="0057460A"/>
    <w:rsid w:val="00590291"/>
    <w:rsid w:val="005963B4"/>
    <w:rsid w:val="005A4BCC"/>
    <w:rsid w:val="005C6BC2"/>
    <w:rsid w:val="006009CD"/>
    <w:rsid w:val="006037A7"/>
    <w:rsid w:val="0062502D"/>
    <w:rsid w:val="00627BF6"/>
    <w:rsid w:val="00665759"/>
    <w:rsid w:val="006B1D12"/>
    <w:rsid w:val="006C0217"/>
    <w:rsid w:val="006E3CB3"/>
    <w:rsid w:val="00701183"/>
    <w:rsid w:val="00711A26"/>
    <w:rsid w:val="0073603D"/>
    <w:rsid w:val="007553CA"/>
    <w:rsid w:val="0077401D"/>
    <w:rsid w:val="00786850"/>
    <w:rsid w:val="00794550"/>
    <w:rsid w:val="007B0C2C"/>
    <w:rsid w:val="007B161B"/>
    <w:rsid w:val="007E375B"/>
    <w:rsid w:val="00831891"/>
    <w:rsid w:val="0083587F"/>
    <w:rsid w:val="00847CC0"/>
    <w:rsid w:val="008811D7"/>
    <w:rsid w:val="008A010A"/>
    <w:rsid w:val="008C63E6"/>
    <w:rsid w:val="008E6DBE"/>
    <w:rsid w:val="009254D8"/>
    <w:rsid w:val="009404AD"/>
    <w:rsid w:val="00952A61"/>
    <w:rsid w:val="00960F1D"/>
    <w:rsid w:val="00970DCD"/>
    <w:rsid w:val="009931A3"/>
    <w:rsid w:val="00996107"/>
    <w:rsid w:val="009C3C61"/>
    <w:rsid w:val="009C7219"/>
    <w:rsid w:val="009D18DB"/>
    <w:rsid w:val="009D49BB"/>
    <w:rsid w:val="009F526F"/>
    <w:rsid w:val="00A2741D"/>
    <w:rsid w:val="00A54488"/>
    <w:rsid w:val="00A566C0"/>
    <w:rsid w:val="00A66AEA"/>
    <w:rsid w:val="00AA0759"/>
    <w:rsid w:val="00AA5BA7"/>
    <w:rsid w:val="00AA6B95"/>
    <w:rsid w:val="00AC4FF9"/>
    <w:rsid w:val="00AD7E61"/>
    <w:rsid w:val="00B14789"/>
    <w:rsid w:val="00B16D8F"/>
    <w:rsid w:val="00B60B8F"/>
    <w:rsid w:val="00B650D5"/>
    <w:rsid w:val="00B726B5"/>
    <w:rsid w:val="00B74932"/>
    <w:rsid w:val="00BB7CFB"/>
    <w:rsid w:val="00C0346B"/>
    <w:rsid w:val="00C72FE3"/>
    <w:rsid w:val="00CA5811"/>
    <w:rsid w:val="00CA7CC8"/>
    <w:rsid w:val="00CB737D"/>
    <w:rsid w:val="00CF746C"/>
    <w:rsid w:val="00D31C60"/>
    <w:rsid w:val="00D52378"/>
    <w:rsid w:val="00D72B5F"/>
    <w:rsid w:val="00D7348C"/>
    <w:rsid w:val="00D831E9"/>
    <w:rsid w:val="00DA3094"/>
    <w:rsid w:val="00E2122F"/>
    <w:rsid w:val="00E37934"/>
    <w:rsid w:val="00E57347"/>
    <w:rsid w:val="00E66268"/>
    <w:rsid w:val="00EA0DC5"/>
    <w:rsid w:val="00EA52B8"/>
    <w:rsid w:val="00ED6C8B"/>
    <w:rsid w:val="00F72491"/>
    <w:rsid w:val="00F80469"/>
    <w:rsid w:val="00F80DB1"/>
    <w:rsid w:val="00FB299F"/>
    <w:rsid w:val="00FC0CB5"/>
    <w:rsid w:val="00FC2AF6"/>
    <w:rsid w:val="00FD41AE"/>
    <w:rsid w:val="0BF910B7"/>
    <w:rsid w:val="0DC4777D"/>
    <w:rsid w:val="12933DEA"/>
    <w:rsid w:val="2AFA5E62"/>
    <w:rsid w:val="359D5541"/>
    <w:rsid w:val="48D214ED"/>
    <w:rsid w:val="4CF20074"/>
    <w:rsid w:val="5C825261"/>
    <w:rsid w:val="7A60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s-CO" w:eastAsia="es-ES" w:bidi="ar-SA"/>
    </w:rPr>
  </w:style>
  <w:style w:type="paragraph" w:styleId="2">
    <w:name w:val="heading 3"/>
    <w:basedOn w:val="1"/>
    <w:next w:val="1"/>
    <w:link w:val="10"/>
    <w:qFormat/>
    <w:uiPriority w:val="0"/>
    <w:pPr>
      <w:keepNext/>
      <w:jc w:val="center"/>
      <w:outlineLvl w:val="2"/>
    </w:pPr>
    <w:rPr>
      <w:rFonts w:ascii="Arial" w:hAnsi="Arial"/>
      <w:b/>
      <w:sz w:val="16"/>
      <w:szCs w:val="16"/>
      <w:lang w:val="es-ES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page number"/>
    <w:basedOn w:val="3"/>
    <w:qFormat/>
    <w:uiPriority w:val="0"/>
  </w:style>
  <w:style w:type="paragraph" w:styleId="6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11"/>
    <w:qFormat/>
    <w:uiPriority w:val="0"/>
    <w:pPr>
      <w:tabs>
        <w:tab w:val="center" w:pos="4252"/>
        <w:tab w:val="right" w:pos="8504"/>
      </w:tabs>
    </w:pPr>
  </w:style>
  <w:style w:type="paragraph" w:styleId="8">
    <w:name w:val="footer"/>
    <w:basedOn w:val="1"/>
    <w:link w:val="12"/>
    <w:qFormat/>
    <w:uiPriority w:val="0"/>
    <w:pPr>
      <w:tabs>
        <w:tab w:val="center" w:pos="4252"/>
        <w:tab w:val="right" w:pos="8504"/>
      </w:tabs>
    </w:pPr>
  </w:style>
  <w:style w:type="table" w:styleId="9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Título 3 Car"/>
    <w:basedOn w:val="3"/>
    <w:link w:val="2"/>
    <w:qFormat/>
    <w:uiPriority w:val="0"/>
    <w:rPr>
      <w:rFonts w:ascii="Arial" w:hAnsi="Arial" w:eastAsia="Times New Roman" w:cs="Times New Roman"/>
      <w:b/>
      <w:sz w:val="16"/>
      <w:szCs w:val="16"/>
      <w:lang w:val="es-ES" w:eastAsia="es-ES"/>
    </w:rPr>
  </w:style>
  <w:style w:type="character" w:customStyle="1" w:styleId="11">
    <w:name w:val="Encabezado Car"/>
    <w:basedOn w:val="3"/>
    <w:link w:val="7"/>
    <w:qFormat/>
    <w:uiPriority w:val="0"/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customStyle="1" w:styleId="12">
    <w:name w:val="Pie de página Car"/>
    <w:basedOn w:val="3"/>
    <w:link w:val="8"/>
    <w:qFormat/>
    <w:uiPriority w:val="0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Texto de globo Car"/>
    <w:basedOn w:val="3"/>
    <w:link w:val="6"/>
    <w:semiHidden/>
    <w:qFormat/>
    <w:uiPriority w:val="99"/>
    <w:rPr>
      <w:rFonts w:ascii="Tahoma" w:hAnsi="Tahoma" w:eastAsia="Times New Roman" w:cs="Tahoma"/>
      <w:sz w:val="16"/>
      <w:szCs w:val="16"/>
      <w:lang w:eastAsia="es-E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159</Words>
  <Characters>877</Characters>
  <Lines>7</Lines>
  <Paragraphs>2</Paragraphs>
  <TotalTime>21</TotalTime>
  <ScaleCrop>false</ScaleCrop>
  <LinksUpToDate>false</LinksUpToDate>
  <CharactersWithSpaces>1034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2021-07-08T15:29:00Z</dcterms:created>
  <dc:creator>ricar</dc:creator>
  <cp:lastModifiedBy>ricardo gamboa</cp:lastModifiedBy>
  <cp:lastPrinted>2017-11-07T19:37:00Z</cp:lastPrinted>
  <dcterms:modified xsi:type="dcterms:W3CDTF">2025-09-19T14:15:47Z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2058-12.2.0.22549</vt:lpwstr>
  </property>
  <property fmtid="{D5CDD505-2E9C-101B-9397-08002B2CF9AE}" pid="3" name="ICV">
    <vt:lpwstr>55EE150E716746C5A766C448BD25B7A6_12</vt:lpwstr>
  </property>
</Properties>
</file>